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FB" w:rsidRPr="0015655E" w:rsidRDefault="003938FB" w:rsidP="003938FB">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17   </w:t>
      </w:r>
    </w:p>
    <w:p w:rsidR="003938FB" w:rsidRPr="0015655E" w:rsidRDefault="003938FB" w:rsidP="003938FB">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3938FB" w:rsidRPr="0015655E" w:rsidRDefault="003938FB" w:rsidP="003938FB">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3938FB" w:rsidRPr="0015655E" w:rsidRDefault="003938FB" w:rsidP="003938FB">
      <w:pPr>
        <w:pStyle w:val="NoSpacing"/>
        <w:jc w:val="right"/>
        <w:rPr>
          <w:rFonts w:ascii="Times New Roman" w:hAnsi="Times New Roman"/>
          <w:b/>
          <w:bCs/>
          <w:sz w:val="24"/>
          <w:szCs w:val="24"/>
        </w:rPr>
      </w:pPr>
      <w:r w:rsidRPr="0015655E">
        <w:rPr>
          <w:rFonts w:ascii="Times New Roman" w:hAnsi="Times New Roman"/>
          <w:b/>
          <w:sz w:val="20"/>
          <w:szCs w:val="20"/>
        </w:rPr>
        <w:t>регистрации ценных бумаг</w:t>
      </w:r>
    </w:p>
    <w:p w:rsidR="003938FB" w:rsidRPr="0015655E" w:rsidRDefault="003938FB" w:rsidP="003938FB">
      <w:pPr>
        <w:pStyle w:val="NoSpacing"/>
        <w:jc w:val="right"/>
        <w:rPr>
          <w:rFonts w:ascii="Times New Roman" w:hAnsi="Times New Roman"/>
          <w:b/>
          <w:bCs/>
        </w:rPr>
      </w:pPr>
    </w:p>
    <w:p w:rsidR="003938FB" w:rsidRPr="0015655E" w:rsidRDefault="003938FB" w:rsidP="003938FB">
      <w:pPr>
        <w:pStyle w:val="norm"/>
        <w:jc w:val="center"/>
        <w:rPr>
          <w:b/>
          <w:sz w:val="28"/>
          <w:szCs w:val="28"/>
        </w:rPr>
      </w:pPr>
      <w:r w:rsidRPr="0015655E">
        <w:rPr>
          <w:b/>
          <w:sz w:val="28"/>
          <w:szCs w:val="28"/>
        </w:rPr>
        <w:t xml:space="preserve">Минимальная информация, которая должна содержаться в примечаниях о ценных бумагах в рамках предложения производных инструментов, относящаяся к соответствующим облигациям (на основании которых производится выпуск МДР) </w:t>
      </w:r>
    </w:p>
    <w:tbl>
      <w:tblPr>
        <w:tblW w:w="5554" w:type="pct"/>
        <w:tblInd w:w="-676"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502"/>
        <w:gridCol w:w="9575"/>
      </w:tblGrid>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center"/>
              <w:rPr>
                <w:rFonts w:ascii="Times New Roman" w:hAnsi="Times New Roman"/>
                <w:sz w:val="28"/>
                <w:szCs w:val="28"/>
              </w:rPr>
            </w:pPr>
            <w:r w:rsidRPr="0015655E">
              <w:rPr>
                <w:rFonts w:ascii="Times New Roman" w:hAnsi="Times New Roman"/>
                <w:b/>
                <w:bCs/>
                <w:sz w:val="28"/>
                <w:szCs w:val="28"/>
              </w:rPr>
              <w:t>1. ОТВЕТСТВЕННЫЕ ЛИЦА ЭМИТЕНТА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примечания о производных ценных бумагах (далее – примечания) сведения, и, в зависимости от случая, лица, ответственные только за его определенные части, с соответствующими уточнениями. В случае физических лиц, включая членов органов управления эмитента (исполнительный орган, совет общества и ревизионная комиссия), указать их фамилию, имя и должность; в случае юридических лиц - наименование, IDNO и юридический адрес.</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
                <w:bCs/>
                <w:sz w:val="28"/>
                <w:szCs w:val="28"/>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примечаний,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примечания/часть примечаний (уточнить), по их сведениям, соответствует действительности и в нем не умалчивается информация, которая могла бы существенно повлиять на содержание документа.</w:t>
            </w:r>
            <w:proofErr w:type="gramEnd"/>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left="139" w:right="129"/>
              <w:jc w:val="center"/>
              <w:rPr>
                <w:rFonts w:ascii="Times New Roman" w:hAnsi="Times New Roman"/>
                <w:sz w:val="28"/>
                <w:szCs w:val="28"/>
              </w:rPr>
            </w:pPr>
            <w:r w:rsidRPr="0015655E">
              <w:rPr>
                <w:rFonts w:ascii="Times New Roman" w:hAnsi="Times New Roman"/>
                <w:b/>
                <w:bCs/>
                <w:sz w:val="28"/>
                <w:szCs w:val="28"/>
              </w:rPr>
              <w:t>2. ФАКТОРЫ РИСКА</w:t>
            </w:r>
            <w:r w:rsidRPr="0015655E">
              <w:rPr>
                <w:rFonts w:ascii="Times New Roman" w:hAnsi="Times New Roman"/>
                <w:b/>
                <w:sz w:val="28"/>
                <w:szCs w:val="28"/>
              </w:rPr>
              <w:t xml:space="preserve">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widowControl w:val="0"/>
              <w:autoSpaceDE w:val="0"/>
              <w:autoSpaceDN w:val="0"/>
              <w:adjustRightInd w:val="0"/>
              <w:rPr>
                <w:rFonts w:ascii="Times New Roman" w:hAnsi="Times New Roman"/>
                <w:b/>
                <w:sz w:val="28"/>
                <w:szCs w:val="28"/>
              </w:rPr>
            </w:pP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 xml:space="preserve">Указать в разделе под названием „факторы риска” факторы риска, имеющие существенное влияние на предлагаемые ценные бумаги, для оценки рыночного риска определяемого соответствующими ценными бумагами. </w:t>
            </w:r>
            <w:proofErr w:type="gramStart"/>
            <w:r w:rsidRPr="0015655E">
              <w:rPr>
                <w:rFonts w:ascii="Times New Roman" w:hAnsi="Times New Roman"/>
                <w:sz w:val="28"/>
                <w:szCs w:val="28"/>
              </w:rPr>
              <w:t xml:space="preserve">Данный раздел должен содержать предупреждение, уведомляющее инвестора о том, что он может потерять, полностью или частично, в зависимости от случая, стоимость своей инвестиции и, в случае если принятый инвестором риск не ограничивается стоимостью его инвестиции – указание данного факта, сопровожденное описанием случаев, когда материализуется такое увеличение рисков, а также возможных финансовых эффектов соответствующей материализации. </w:t>
            </w:r>
            <w:proofErr w:type="gramEnd"/>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left="139" w:right="129"/>
              <w:jc w:val="center"/>
              <w:rPr>
                <w:rFonts w:ascii="Times New Roman" w:hAnsi="Times New Roman"/>
                <w:sz w:val="28"/>
                <w:szCs w:val="28"/>
              </w:rPr>
            </w:pPr>
            <w:r w:rsidRPr="0015655E">
              <w:rPr>
                <w:rFonts w:ascii="Times New Roman" w:hAnsi="Times New Roman"/>
                <w:b/>
                <w:bCs/>
                <w:sz w:val="28"/>
                <w:szCs w:val="28"/>
              </w:rPr>
              <w:t xml:space="preserve">3. </w:t>
            </w:r>
            <w:r w:rsidRPr="0015655E">
              <w:rPr>
                <w:rFonts w:ascii="Times New Roman" w:hAnsi="Times New Roman"/>
                <w:b/>
                <w:sz w:val="28"/>
                <w:szCs w:val="28"/>
              </w:rPr>
              <w:t>ОСНОВНАЯ ИНФОРМАЦИЯ</w:t>
            </w:r>
            <w:r w:rsidRPr="0015655E">
              <w:rPr>
                <w:rFonts w:ascii="Times New Roman" w:hAnsi="Times New Roman"/>
                <w:b/>
                <w:bCs/>
                <w:sz w:val="28"/>
                <w:szCs w:val="28"/>
              </w:rPr>
              <w:t xml:space="preserve">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widowControl w:val="0"/>
              <w:autoSpaceDE w:val="0"/>
              <w:autoSpaceDN w:val="0"/>
              <w:adjustRightInd w:val="0"/>
              <w:ind w:right="144"/>
              <w:jc w:val="both"/>
              <w:rPr>
                <w:rFonts w:ascii="Times New Roman" w:hAnsi="Times New Roman"/>
                <w:sz w:val="28"/>
                <w:szCs w:val="28"/>
              </w:rPr>
            </w:pPr>
            <w:r w:rsidRPr="00530386">
              <w:rPr>
                <w:rFonts w:ascii="Times New Roman" w:hAnsi="Times New Roman"/>
                <w:b/>
                <w:bCs/>
                <w:sz w:val="28"/>
                <w:szCs w:val="28"/>
              </w:rPr>
              <w:t xml:space="preserve">Интересы физических и юридических лиц, участвующих в эмиссии/предложении </w:t>
            </w:r>
          </w:p>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Описание всех интересов, в том числе конфликтных, которые могли бы существенно повлиять на эмиссию/предложение, с указанием каждого вовлеченного лица и характера интереса.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
                <w:bCs/>
                <w:sz w:val="28"/>
                <w:szCs w:val="28"/>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widowControl w:val="0"/>
              <w:autoSpaceDE w:val="0"/>
              <w:autoSpaceDN w:val="0"/>
              <w:adjustRightInd w:val="0"/>
              <w:ind w:right="144"/>
              <w:rPr>
                <w:rFonts w:ascii="Times New Roman" w:hAnsi="Times New Roman"/>
                <w:sz w:val="28"/>
                <w:szCs w:val="28"/>
              </w:rPr>
            </w:pPr>
            <w:r w:rsidRPr="00530386">
              <w:rPr>
                <w:rFonts w:ascii="Times New Roman" w:hAnsi="Times New Roman"/>
                <w:b/>
                <w:bCs/>
                <w:sz w:val="28"/>
                <w:szCs w:val="28"/>
              </w:rPr>
              <w:t xml:space="preserve">Причины предложения и использование полученных фондов, если речь </w:t>
            </w:r>
            <w:r w:rsidRPr="00530386">
              <w:rPr>
                <w:rFonts w:ascii="Times New Roman" w:hAnsi="Times New Roman"/>
                <w:b/>
                <w:bCs/>
                <w:sz w:val="28"/>
                <w:szCs w:val="28"/>
              </w:rPr>
              <w:lastRenderedPageBreak/>
              <w:t xml:space="preserve">идет о других </w:t>
            </w:r>
            <w:proofErr w:type="gramStart"/>
            <w:r w:rsidRPr="00530386">
              <w:rPr>
                <w:rFonts w:ascii="Times New Roman" w:hAnsi="Times New Roman"/>
                <w:b/>
                <w:bCs/>
                <w:sz w:val="28"/>
                <w:szCs w:val="28"/>
              </w:rPr>
              <w:t>причинах</w:t>
            </w:r>
            <w:proofErr w:type="gramEnd"/>
            <w:r w:rsidRPr="00530386">
              <w:rPr>
                <w:rFonts w:ascii="Times New Roman" w:hAnsi="Times New Roman"/>
                <w:b/>
                <w:bCs/>
                <w:sz w:val="28"/>
                <w:szCs w:val="28"/>
              </w:rPr>
              <w:t xml:space="preserve"> чем получение выгоды и покрытие определенных рисков</w:t>
            </w:r>
          </w:p>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В случае, когда представляется такого рода информация, указать также чистую общую стоимость полученных от эмиссии/предложения фондов и оценку общей стоимости эмиссии/предложения.</w:t>
            </w:r>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left="139" w:right="129"/>
              <w:jc w:val="center"/>
              <w:rPr>
                <w:rFonts w:ascii="Times New Roman" w:hAnsi="Times New Roman"/>
                <w:sz w:val="28"/>
                <w:szCs w:val="28"/>
              </w:rPr>
            </w:pPr>
            <w:r w:rsidRPr="0015655E">
              <w:rPr>
                <w:rFonts w:ascii="Times New Roman" w:hAnsi="Times New Roman"/>
                <w:b/>
                <w:bCs/>
                <w:sz w:val="28"/>
                <w:szCs w:val="28"/>
              </w:rPr>
              <w:lastRenderedPageBreak/>
              <w:t xml:space="preserve">          4. ИНФОРМАЦИЯ О ПРЕДЛАГАЕМЫХ ПРОИЗВОДНЫХ ЦЕННЫХ БУМАГАХ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ind w:right="129"/>
              <w:rPr>
                <w:rFonts w:ascii="Times New Roman" w:hAnsi="Times New Roman"/>
                <w:sz w:val="28"/>
                <w:szCs w:val="28"/>
              </w:rPr>
            </w:pPr>
            <w:r w:rsidRPr="00530386">
              <w:rPr>
                <w:rFonts w:ascii="Times New Roman" w:hAnsi="Times New Roman"/>
                <w:b/>
                <w:bCs/>
                <w:sz w:val="28"/>
                <w:szCs w:val="28"/>
              </w:rPr>
              <w:t>Информация о ценных бумагах</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Описание характера и категории производных ценных бумаг (МДР) и, в зависимости от случая, их идентификационный код (ISIN);</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proofErr w:type="gramStart"/>
            <w:r w:rsidRPr="0015655E">
              <w:rPr>
                <w:rFonts w:ascii="Times New Roman" w:hAnsi="Times New Roman"/>
                <w:sz w:val="28"/>
                <w:szCs w:val="28"/>
              </w:rPr>
              <w:t>Четкие и исчерпывающие разъяснения, которые позволили бы инвесторам понять каким образом на стоимость их инвестиции влияет стоимость ценных бумаг, на основании которых были выпущены МДР, в особенности в случае, когда риск является очевидным, за исключения случая, когда единая номинальная стоимость ценных бумаг не менее эквивалента 50 000 евро в леях или они не могут приобретаться менее чем за эквивалент 50</w:t>
            </w:r>
            <w:proofErr w:type="gramEnd"/>
            <w:r w:rsidRPr="0015655E">
              <w:rPr>
                <w:rFonts w:ascii="Times New Roman" w:hAnsi="Times New Roman"/>
                <w:sz w:val="28"/>
                <w:szCs w:val="28"/>
              </w:rPr>
              <w:t> 000 евро в леях за единицу;</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Законодательство, на основании которого были созданы ценные бумаги;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Указать форму выпуска ценных бумаг (</w:t>
            </w:r>
            <w:proofErr w:type="gramStart"/>
            <w:r w:rsidRPr="0015655E">
              <w:rPr>
                <w:rFonts w:ascii="Times New Roman" w:hAnsi="Times New Roman"/>
                <w:sz w:val="28"/>
                <w:szCs w:val="28"/>
              </w:rPr>
              <w:t>дематериализованные</w:t>
            </w:r>
            <w:proofErr w:type="gramEnd"/>
            <w:r w:rsidRPr="0015655E">
              <w:rPr>
                <w:rFonts w:ascii="Times New Roman" w:hAnsi="Times New Roman"/>
                <w:sz w:val="28"/>
                <w:szCs w:val="28"/>
              </w:rPr>
              <w:t>). Указать наименование и адрес общества, обеспечивающего ведение реестра акционеров эмитента;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Валюта, в которой осуществляется эмиссия;</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f)</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Положение предлагаемых ценных бумаг, включая резюме любого условия, следствием которого является оказание влияния на положение или подчинение данных ценных бумаг другому любому текущему или будущему обязательству эмитента;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g)</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Описание прав, связанных с ценными бумагами, в том числе любого применяемого к ним ограничения, и способов исполнения данных прав;</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h)</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Декларация, содержащая постановления, разрешения и утверждения, на основании которых будут выпускаться ценные бумаги;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i)</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Дата эмиссии ценных бумаг;</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rPr>
                <w:rFonts w:ascii="Times New Roman" w:hAnsi="Times New Roman"/>
                <w:sz w:val="28"/>
                <w:szCs w:val="28"/>
              </w:rPr>
            </w:pPr>
            <w:r w:rsidRPr="0015655E">
              <w:rPr>
                <w:rFonts w:ascii="Times New Roman" w:hAnsi="Times New Roman"/>
                <w:bCs/>
                <w:sz w:val="28"/>
                <w:szCs w:val="28"/>
              </w:rPr>
              <w:t>j)</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Описание всех ограничений на свободную передачу ценных бумаг;</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k)</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Информация о:</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a) дате истечения или погашения ценных бумаг;</w:t>
            </w:r>
          </w:p>
          <w:p w:rsidR="003938FB" w:rsidRPr="0015655E" w:rsidRDefault="003938FB" w:rsidP="00B24149">
            <w:pPr>
              <w:pStyle w:val="NoSpacing"/>
              <w:ind w:right="271"/>
              <w:jc w:val="both"/>
              <w:rPr>
                <w:rFonts w:ascii="Times New Roman" w:hAnsi="Times New Roman"/>
                <w:vanish/>
                <w:sz w:val="28"/>
                <w:szCs w:val="28"/>
              </w:rPr>
            </w:pPr>
            <w:r w:rsidRPr="0015655E">
              <w:rPr>
                <w:rFonts w:ascii="Times New Roman" w:hAnsi="Times New Roman"/>
                <w:sz w:val="28"/>
                <w:szCs w:val="28"/>
              </w:rPr>
              <w:t>b) дате исполнения или рекомендуемой финальной дате;</w:t>
            </w:r>
          </w:p>
          <w:p w:rsidR="003938FB" w:rsidRPr="0015655E" w:rsidRDefault="003938FB" w:rsidP="00B24149">
            <w:pPr>
              <w:pStyle w:val="NoSpacing"/>
              <w:ind w:left="139" w:right="271"/>
              <w:jc w:val="both"/>
              <w:rPr>
                <w:rFonts w:ascii="Times New Roman" w:hAnsi="Times New Roman"/>
                <w:sz w:val="28"/>
                <w:szCs w:val="28"/>
              </w:rPr>
            </w:pP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l)</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Описание процедуры регулирования производных документов;</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m)</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Способы управления прибылью, ожидаемой от производных инструментов, дата оплаты или получения и способы расчета;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n)</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 xml:space="preserve">Для эмитента производных ценных бумаг: </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a) информация о любом удержан</w:t>
            </w:r>
            <w:proofErr w:type="gramStart"/>
            <w:r w:rsidRPr="0015655E">
              <w:rPr>
                <w:rFonts w:ascii="Times New Roman" w:hAnsi="Times New Roman"/>
                <w:sz w:val="28"/>
                <w:szCs w:val="28"/>
              </w:rPr>
              <w:t>ии у и</w:t>
            </w:r>
            <w:proofErr w:type="gramEnd"/>
            <w:r w:rsidRPr="0015655E">
              <w:rPr>
                <w:rFonts w:ascii="Times New Roman" w:hAnsi="Times New Roman"/>
                <w:sz w:val="28"/>
                <w:szCs w:val="28"/>
              </w:rPr>
              <w:t>сточника, применяемом к доходам по ценным бумагам;</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lastRenderedPageBreak/>
              <w:t xml:space="preserve">b) указания о принятии или </w:t>
            </w:r>
            <w:proofErr w:type="gramStart"/>
            <w:r w:rsidRPr="0015655E">
              <w:rPr>
                <w:rFonts w:ascii="Times New Roman" w:hAnsi="Times New Roman"/>
                <w:sz w:val="28"/>
                <w:szCs w:val="28"/>
              </w:rPr>
              <w:t>не принятии</w:t>
            </w:r>
            <w:proofErr w:type="gramEnd"/>
            <w:r w:rsidRPr="0015655E">
              <w:rPr>
                <w:rFonts w:ascii="Times New Roman" w:hAnsi="Times New Roman"/>
                <w:sz w:val="28"/>
                <w:szCs w:val="28"/>
              </w:rPr>
              <w:t xml:space="preserve"> эмитентом ответственности за удержание у источника.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lastRenderedPageBreak/>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ind w:right="271"/>
              <w:jc w:val="both"/>
              <w:rPr>
                <w:rFonts w:ascii="Times New Roman" w:hAnsi="Times New Roman"/>
                <w:sz w:val="28"/>
                <w:szCs w:val="28"/>
              </w:rPr>
            </w:pPr>
            <w:r w:rsidRPr="00530386">
              <w:rPr>
                <w:rFonts w:ascii="Times New Roman" w:hAnsi="Times New Roman"/>
                <w:b/>
                <w:bCs/>
                <w:sz w:val="28"/>
                <w:szCs w:val="28"/>
              </w:rPr>
              <w:t xml:space="preserve">Информация о соответствующих элементах (ценные бумаги, </w:t>
            </w:r>
            <w:r w:rsidRPr="00530386">
              <w:rPr>
                <w:rFonts w:ascii="Times New Roman" w:hAnsi="Times New Roman"/>
                <w:b/>
                <w:sz w:val="28"/>
                <w:szCs w:val="28"/>
                <w:lang w:eastAsia="zh-TW"/>
              </w:rPr>
              <w:t>на основании которых производится выпуск МДР</w:t>
            </w:r>
            <w:r w:rsidRPr="00530386">
              <w:rPr>
                <w:rFonts w:ascii="Times New Roman" w:hAnsi="Times New Roman"/>
                <w:b/>
                <w:sz w:val="28"/>
                <w:szCs w:val="28"/>
              </w:rPr>
              <w:t>)</w:t>
            </w:r>
            <w:r w:rsidRPr="00530386">
              <w:rPr>
                <w:rFonts w:ascii="Times New Roman" w:hAnsi="Times New Roman"/>
                <w:sz w:val="28"/>
                <w:szCs w:val="28"/>
              </w:rPr>
              <w:t xml:space="preserve">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Цена исполнения и рекомендуемая финальная цена соответствующих элементов;</w:t>
            </w:r>
          </w:p>
        </w:tc>
      </w:tr>
      <w:tr w:rsidR="003938FB" w:rsidRPr="0015655E" w:rsidTr="00B24149">
        <w:trPr>
          <w:trHeight w:val="1264"/>
        </w:trPr>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Декларация о виде используемых соответствующих элементов и место, где можно получить информацию о них:</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a) источники получения информаций о прошлых и настоящих качествах соответствующих элементов и их волатильности;</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b) наименование эмитента ценных бумаг, на основании которых производится выпуск МДР;</w:t>
            </w:r>
          </w:p>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c) код ISIN (международный идентификационный номер ценных бумаг) или любой другой идентификационный код;</w:t>
            </w:r>
          </w:p>
          <w:p w:rsidR="003938FB" w:rsidRPr="0015655E" w:rsidRDefault="003938FB" w:rsidP="00B24149">
            <w:pPr>
              <w:pStyle w:val="NoSpacing"/>
              <w:ind w:left="139" w:right="271"/>
              <w:jc w:val="both"/>
              <w:rPr>
                <w:rFonts w:ascii="Times New Roman" w:hAnsi="Times New Roman"/>
                <w:vanish/>
                <w:sz w:val="28"/>
                <w:szCs w:val="28"/>
              </w:rPr>
            </w:pPr>
          </w:p>
          <w:p w:rsidR="003938FB" w:rsidRPr="0015655E" w:rsidRDefault="003938FB" w:rsidP="00B24149">
            <w:pPr>
              <w:pStyle w:val="NoSpacing"/>
              <w:ind w:left="139" w:right="271"/>
              <w:jc w:val="both"/>
              <w:rPr>
                <w:rFonts w:ascii="Times New Roman" w:hAnsi="Times New Roman"/>
                <w:vanish/>
                <w:sz w:val="28"/>
                <w:szCs w:val="28"/>
              </w:rPr>
            </w:pPr>
          </w:p>
          <w:tbl>
            <w:tblPr>
              <w:tblW w:w="5000" w:type="pct"/>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4A0" w:firstRow="1" w:lastRow="0" w:firstColumn="1" w:lastColumn="0" w:noHBand="0" w:noVBand="1"/>
            </w:tblPr>
            <w:tblGrid>
              <w:gridCol w:w="394"/>
              <w:gridCol w:w="9129"/>
            </w:tblGrid>
            <w:tr w:rsidR="003938FB" w:rsidRPr="0015655E" w:rsidTr="00B24149">
              <w:tc>
                <w:tcPr>
                  <w:tcW w:w="207" w:type="pct"/>
                  <w:tcBorders>
                    <w:top w:val="single" w:sz="2" w:space="0" w:color="FFFFFF"/>
                    <w:left w:val="single" w:sz="2" w:space="0" w:color="FFFFFF"/>
                    <w:bottom w:val="single" w:sz="2" w:space="0" w:color="FFFFFF"/>
                    <w:right w:val="single" w:sz="2" w:space="0" w:color="FFFFFF"/>
                  </w:tcBorders>
                  <w:tcMar>
                    <w:top w:w="13" w:type="dxa"/>
                    <w:left w:w="33" w:type="dxa"/>
                    <w:bottom w:w="13" w:type="dxa"/>
                    <w:right w:w="13" w:type="dxa"/>
                  </w:tcMar>
                  <w:hideMark/>
                </w:tcPr>
                <w:p w:rsidR="003938FB" w:rsidRPr="0015655E" w:rsidRDefault="003938FB" w:rsidP="00B24149">
                  <w:pPr>
                    <w:pStyle w:val="NoSpacing"/>
                    <w:ind w:left="139" w:right="271"/>
                    <w:jc w:val="both"/>
                    <w:rPr>
                      <w:rFonts w:ascii="Times New Roman" w:hAnsi="Times New Roman"/>
                      <w:sz w:val="28"/>
                      <w:szCs w:val="28"/>
                    </w:rPr>
                  </w:pPr>
                </w:p>
              </w:tc>
              <w:tc>
                <w:tcPr>
                  <w:tcW w:w="4793" w:type="pct"/>
                  <w:tcBorders>
                    <w:top w:val="single" w:sz="2" w:space="0" w:color="FFFFFF"/>
                    <w:left w:val="single" w:sz="2" w:space="0" w:color="FFFFFF"/>
                    <w:bottom w:val="single" w:sz="2" w:space="0" w:color="FFFFFF"/>
                    <w:right w:val="single" w:sz="2" w:space="0" w:color="FFFFFF"/>
                  </w:tcBorders>
                  <w:tcMar>
                    <w:top w:w="13" w:type="dxa"/>
                    <w:left w:w="33" w:type="dxa"/>
                    <w:bottom w:w="13" w:type="dxa"/>
                    <w:right w:w="13" w:type="dxa"/>
                  </w:tcMar>
                  <w:hideMark/>
                </w:tcPr>
                <w:p w:rsidR="003938FB" w:rsidRPr="0015655E" w:rsidRDefault="003938FB" w:rsidP="00B24149">
                  <w:pPr>
                    <w:pStyle w:val="NoSpacing"/>
                    <w:ind w:left="139" w:right="271"/>
                    <w:jc w:val="both"/>
                    <w:rPr>
                      <w:rFonts w:ascii="Times New Roman" w:hAnsi="Times New Roman"/>
                      <w:sz w:val="28"/>
                      <w:szCs w:val="28"/>
                    </w:rPr>
                  </w:pPr>
                </w:p>
              </w:tc>
            </w:tr>
          </w:tbl>
          <w:p w:rsidR="003938FB" w:rsidRPr="0015655E" w:rsidRDefault="003938FB" w:rsidP="00B24149">
            <w:pPr>
              <w:pStyle w:val="NoSpacing"/>
              <w:ind w:left="139" w:right="271"/>
              <w:jc w:val="both"/>
              <w:rPr>
                <w:rFonts w:ascii="Times New Roman" w:hAnsi="Times New Roman"/>
                <w:sz w:val="28"/>
                <w:szCs w:val="28"/>
              </w:rPr>
            </w:pP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 xml:space="preserve">Описание любой пертурбации рынка или процедур регулирования, </w:t>
            </w:r>
            <w:proofErr w:type="gramStart"/>
            <w:r w:rsidRPr="0015655E">
              <w:rPr>
                <w:rFonts w:ascii="Times New Roman" w:hAnsi="Times New Roman"/>
                <w:sz w:val="28"/>
                <w:szCs w:val="28"/>
              </w:rPr>
              <w:t>которая</w:t>
            </w:r>
            <w:proofErr w:type="gramEnd"/>
            <w:r w:rsidRPr="0015655E">
              <w:rPr>
                <w:rFonts w:ascii="Times New Roman" w:hAnsi="Times New Roman"/>
                <w:sz w:val="28"/>
                <w:szCs w:val="28"/>
              </w:rPr>
              <w:t xml:space="preserve"> могла бы повлиять на соответствующие элементы;</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Описание корректировочных норм, применяемых в случае события, влияющего на соответствующие элементы.</w:t>
            </w:r>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left="139" w:right="271"/>
              <w:jc w:val="center"/>
              <w:rPr>
                <w:rFonts w:ascii="Times New Roman" w:hAnsi="Times New Roman"/>
                <w:sz w:val="28"/>
                <w:szCs w:val="28"/>
              </w:rPr>
            </w:pPr>
            <w:r w:rsidRPr="0015655E">
              <w:rPr>
                <w:rFonts w:ascii="Times New Roman" w:hAnsi="Times New Roman"/>
                <w:b/>
                <w:bCs/>
                <w:sz w:val="28"/>
                <w:szCs w:val="28"/>
              </w:rPr>
              <w:t xml:space="preserve">5. УСЛОВИЯ ПРЕДЛОЖЕНИЯ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ind w:right="271"/>
              <w:jc w:val="both"/>
              <w:rPr>
                <w:rFonts w:ascii="Times New Roman" w:hAnsi="Times New Roman"/>
                <w:b/>
                <w:bCs/>
                <w:sz w:val="28"/>
                <w:szCs w:val="28"/>
              </w:rPr>
            </w:pPr>
            <w:r w:rsidRPr="00530386">
              <w:rPr>
                <w:rFonts w:ascii="Times New Roman" w:hAnsi="Times New Roman"/>
                <w:b/>
                <w:bCs/>
                <w:sz w:val="28"/>
                <w:szCs w:val="28"/>
              </w:rPr>
              <w:t xml:space="preserve">Условия предложения, статистика предложения, временный календарь и способы запрашивания подписки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Представление условий, регулирующих предложение;</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Общая стоимость эмиссии/предложения. Если общая стоимость не установлена – описание способов и срока публичного объявления окончательной стоимости;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Срок действия предложения, в том числе любое возможное изменение, и описание процедуры подписки;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Минимальный и максимальный объем одной подписки (выраженный количеством ценных бумаг или общей стоимостью инвестиции);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Описание способа и указание предельных сроков для оплаты, соответственно передачи ценных бумаг;</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f)</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Полное описание способов опубликования результатов предложения и дата опубликования.</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ind w:right="271"/>
              <w:jc w:val="both"/>
              <w:rPr>
                <w:rFonts w:ascii="Times New Roman" w:hAnsi="Times New Roman"/>
                <w:sz w:val="28"/>
                <w:szCs w:val="28"/>
              </w:rPr>
            </w:pPr>
            <w:r w:rsidRPr="00530386">
              <w:rPr>
                <w:rFonts w:ascii="Times New Roman" w:hAnsi="Times New Roman"/>
                <w:b/>
                <w:bCs/>
                <w:sz w:val="28"/>
                <w:szCs w:val="28"/>
              </w:rPr>
              <w:t xml:space="preserve">План распределения и предоставления ценных бумаг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Различные категории потенциальных инвесторов, которым предоставляются ценные бумаги. Если предложение осуществляется одновременно на разных рынках и если один транш был или является зарезервированным для определенных рынков, указать данный транш;</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Процедура уведомления подписчиков о распределенном объеме ценных бумаг и информация о возможности начала торгов до получения уведомления.</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lastRenderedPageBreak/>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widowControl w:val="0"/>
              <w:autoSpaceDE w:val="0"/>
              <w:autoSpaceDN w:val="0"/>
              <w:adjustRightInd w:val="0"/>
              <w:ind w:right="141"/>
              <w:jc w:val="both"/>
              <w:rPr>
                <w:rFonts w:ascii="Times New Roman" w:hAnsi="Times New Roman"/>
                <w:sz w:val="28"/>
                <w:szCs w:val="28"/>
              </w:rPr>
            </w:pPr>
            <w:r w:rsidRPr="00530386">
              <w:rPr>
                <w:rFonts w:ascii="Times New Roman" w:hAnsi="Times New Roman"/>
                <w:b/>
                <w:bCs/>
                <w:sz w:val="28"/>
                <w:szCs w:val="28"/>
              </w:rPr>
              <w:t xml:space="preserve">Установление цены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sz w:val="28"/>
                <w:szCs w:val="28"/>
              </w:rPr>
              <w:t> </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Цена, по которой будут предлагаться ценные бумаги или метод установления и процедура опубликования цены. Размер расходов или сборов, запрашиваемых от подписчиков или покупателей.</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4)</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530386" w:rsidRDefault="003938FB" w:rsidP="00B24149">
            <w:pPr>
              <w:pStyle w:val="NoSpacing"/>
              <w:ind w:right="271"/>
              <w:jc w:val="both"/>
              <w:rPr>
                <w:rFonts w:ascii="Times New Roman" w:hAnsi="Times New Roman"/>
                <w:sz w:val="28"/>
                <w:szCs w:val="28"/>
              </w:rPr>
            </w:pPr>
            <w:r w:rsidRPr="00530386">
              <w:rPr>
                <w:rFonts w:ascii="Times New Roman" w:hAnsi="Times New Roman"/>
                <w:b/>
                <w:bCs/>
                <w:sz w:val="28"/>
                <w:szCs w:val="28"/>
              </w:rPr>
              <w:t xml:space="preserve">Размещение и подписка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a)</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Фамилия и адрес координатора или координаторов предложения в целом и отдельных сторон предложения, а также, в зависимости от того, в какой мере данная информация известна эмитенту или оференту, фамилия и адрес посредников предложения;</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b)</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 xml:space="preserve">Наименование и адрес Фондовой биржи, Центрального депозитария и всех вовлеченных в предложение инвестиционных обществ;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c)</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Информация об обществах, которые взяли на себя твердое обязательство подписаться на эмиссию, и тех, которые взяли на себя обязательство размещать ценные бумаги без твердой подписки или на основании инвестиционного соглашения по самой лучшей цене. Если твердая подписка не относится ко всей эмиссии, указать долю участия, которая не была подписана;</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d)</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Момент, когда соглашение о твердой подписке было или будет выполнено;</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Cs/>
                <w:sz w:val="28"/>
                <w:szCs w:val="28"/>
              </w:rPr>
              <w:t>e)</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271"/>
              <w:jc w:val="both"/>
              <w:rPr>
                <w:rFonts w:ascii="Times New Roman" w:hAnsi="Times New Roman"/>
                <w:sz w:val="28"/>
                <w:szCs w:val="28"/>
              </w:rPr>
            </w:pPr>
            <w:r w:rsidRPr="0015655E">
              <w:rPr>
                <w:rFonts w:ascii="Times New Roman" w:hAnsi="Times New Roman"/>
                <w:sz w:val="28"/>
                <w:szCs w:val="28"/>
              </w:rPr>
              <w:t>Фамилия лица, у которого можно запросить четкие разъяснения о порядке расчета доходов по производным инструментам;</w:t>
            </w:r>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center"/>
              <w:rPr>
                <w:rFonts w:ascii="Times New Roman" w:hAnsi="Times New Roman"/>
                <w:sz w:val="28"/>
                <w:szCs w:val="28"/>
              </w:rPr>
            </w:pPr>
            <w:r w:rsidRPr="0015655E">
              <w:rPr>
                <w:rFonts w:ascii="Times New Roman" w:hAnsi="Times New Roman"/>
                <w:b/>
                <w:bCs/>
                <w:sz w:val="28"/>
                <w:szCs w:val="28"/>
              </w:rPr>
              <w:t xml:space="preserve">6. ДОПУЩЕНИЕ К ТОРГАМ И СПОСОБЫ СОВЕРШЕНИЯ СДЕЛОК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Указать если предоставляемые ценные бумаги составляют или составят предмет запроса на допущение к торгам в целях их распределения на регулируемом рынке или на других рынках (указать соответствующие рынки). Данная информация излагается таким образом, чтобы не создать впечатление, что допущение к торгам будет с уверенностью утверждено. Указать самые последние данные, по которым ценные бумаги будут допущены к торгам, если они известны.</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 xml:space="preserve">Указать все рынки на которых, по сведениям эмитента, уже торгуются ценные </w:t>
            </w:r>
            <w:proofErr w:type="gramStart"/>
            <w:r w:rsidRPr="0015655E">
              <w:rPr>
                <w:rFonts w:ascii="Times New Roman" w:hAnsi="Times New Roman"/>
                <w:sz w:val="28"/>
                <w:szCs w:val="28"/>
              </w:rPr>
              <w:t>бумаги</w:t>
            </w:r>
            <w:proofErr w:type="gramEnd"/>
            <w:r w:rsidRPr="0015655E">
              <w:rPr>
                <w:rFonts w:ascii="Times New Roman" w:hAnsi="Times New Roman"/>
                <w:sz w:val="28"/>
                <w:szCs w:val="28"/>
              </w:rPr>
              <w:t xml:space="preserve"> принадлежащие к категории, к которой относятся и ценные бумаги которые будут предложены или допущены к торгам.</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Подробная информация об обществах, которые взяли на себя твердое обязательство осуществлять деятельность в качестве посредников на рынках и гарантировать их ликвидность посредством котировок на продажу и приобретение; описание главных характеристик данного обязательства.</w:t>
            </w:r>
          </w:p>
        </w:tc>
      </w:tr>
      <w:tr w:rsidR="003938FB"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center"/>
              <w:rPr>
                <w:rFonts w:ascii="Times New Roman" w:hAnsi="Times New Roman"/>
                <w:sz w:val="28"/>
                <w:szCs w:val="28"/>
              </w:rPr>
            </w:pPr>
            <w:r w:rsidRPr="0015655E">
              <w:rPr>
                <w:rFonts w:ascii="Times New Roman" w:hAnsi="Times New Roman"/>
                <w:b/>
                <w:bCs/>
                <w:sz w:val="28"/>
                <w:szCs w:val="28"/>
              </w:rPr>
              <w:t xml:space="preserve">7. ДОПОЛНИТЕЛЬНАЯ ИНФОРМАЦИЯ </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1)</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 xml:space="preserve">Если в примечаниях о ценных бумагах указаны связанные с предложением советники – </w:t>
            </w:r>
            <w:proofErr w:type="gramStart"/>
            <w:r w:rsidRPr="0015655E">
              <w:rPr>
                <w:rFonts w:ascii="Times New Roman" w:hAnsi="Times New Roman"/>
                <w:sz w:val="28"/>
                <w:szCs w:val="28"/>
              </w:rPr>
              <w:t>декларация, подтверждающая в каком качестве они осуществляли</w:t>
            </w:r>
            <w:proofErr w:type="gramEnd"/>
            <w:r w:rsidRPr="0015655E">
              <w:rPr>
                <w:rFonts w:ascii="Times New Roman" w:hAnsi="Times New Roman"/>
                <w:sz w:val="28"/>
                <w:szCs w:val="28"/>
              </w:rPr>
              <w:t xml:space="preserve"> деятельность.</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2)</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 xml:space="preserve">Указать какие другие сведения из примечаний о ценных бумагах были проверены или рассмотрены аудиторами и если они составили отчет. </w:t>
            </w:r>
            <w:r w:rsidRPr="0015655E">
              <w:rPr>
                <w:rFonts w:ascii="Times New Roman" w:hAnsi="Times New Roman"/>
                <w:sz w:val="28"/>
                <w:szCs w:val="28"/>
              </w:rPr>
              <w:lastRenderedPageBreak/>
              <w:t>Представить отчет в полном объеме или, с согласия компетентного органа – его резюме.</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lastRenderedPageBreak/>
              <w:t>3)</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 xml:space="preserve">В случае если примечания о ценных бумагах содержат декларацию или отчет присваиваемые лицу, действующему в качестве эксперта, - указать фамилию, рабочий адрес и квалификацию данного лица и, в зависимости от случая, любые существенные интересы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примечаний о ценных бумагах.</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4)</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proofErr w:type="gramStart"/>
            <w:r w:rsidRPr="0015655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r w:rsidR="003938FB" w:rsidRPr="0015655E" w:rsidTr="00B24149">
        <w:tc>
          <w:tcPr>
            <w:tcW w:w="249"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jc w:val="both"/>
              <w:rPr>
                <w:rFonts w:ascii="Times New Roman" w:hAnsi="Times New Roman"/>
                <w:sz w:val="28"/>
                <w:szCs w:val="28"/>
              </w:rPr>
            </w:pPr>
            <w:r w:rsidRPr="0015655E">
              <w:rPr>
                <w:rFonts w:ascii="Times New Roman" w:hAnsi="Times New Roman"/>
                <w:b/>
                <w:bCs/>
                <w:sz w:val="28"/>
                <w:szCs w:val="28"/>
              </w:rPr>
              <w:t>5)</w:t>
            </w:r>
          </w:p>
        </w:tc>
        <w:tc>
          <w:tcPr>
            <w:tcW w:w="4751"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3938FB" w:rsidRPr="0015655E" w:rsidRDefault="003938FB" w:rsidP="00B24149">
            <w:pPr>
              <w:pStyle w:val="NoSpacing"/>
              <w:ind w:right="129"/>
              <w:jc w:val="both"/>
              <w:rPr>
                <w:rFonts w:ascii="Times New Roman" w:hAnsi="Times New Roman"/>
                <w:sz w:val="28"/>
                <w:szCs w:val="28"/>
              </w:rPr>
            </w:pPr>
            <w:r w:rsidRPr="0015655E">
              <w:rPr>
                <w:rFonts w:ascii="Times New Roman" w:hAnsi="Times New Roman"/>
                <w:sz w:val="28"/>
                <w:szCs w:val="28"/>
              </w:rPr>
              <w:t>Указать в проспекте возможное намерение эмитента предоставить, после эмиссии, последующие сведения об эмиссии. В случае наличия данного намерения, эмитент должен уточнить какие сведения он предоставит и место, где можно будет их получить.</w:t>
            </w:r>
          </w:p>
        </w:tc>
      </w:tr>
    </w:tbl>
    <w:p w:rsidR="003938FB" w:rsidRDefault="003938FB">
      <w:bookmarkStart w:id="0" w:name="_GoBack"/>
      <w:bookmarkEnd w:id="0"/>
    </w:p>
    <w:sectPr w:rsidR="00393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FB"/>
    <w:rsid w:val="0039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F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38FB"/>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3938FB"/>
    <w:rPr>
      <w:rFonts w:ascii="Calibri" w:eastAsia="Times New Roman" w:hAnsi="Calibri" w:cs="Times New Roman"/>
      <w:lang w:val="ru-RU" w:eastAsia="ru-RU"/>
    </w:rPr>
  </w:style>
  <w:style w:type="paragraph" w:customStyle="1" w:styleId="norm">
    <w:name w:val="norm"/>
    <w:basedOn w:val="Normal"/>
    <w:rsid w:val="003938FB"/>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F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38FB"/>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3938FB"/>
    <w:rPr>
      <w:rFonts w:ascii="Calibri" w:eastAsia="Times New Roman" w:hAnsi="Calibri" w:cs="Times New Roman"/>
      <w:lang w:val="ru-RU" w:eastAsia="ru-RU"/>
    </w:rPr>
  </w:style>
  <w:style w:type="paragraph" w:customStyle="1" w:styleId="norm">
    <w:name w:val="norm"/>
    <w:basedOn w:val="Normal"/>
    <w:rsid w:val="003938F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2018-05-29T06:32:00Z</dcterms:created>
  <dcterms:modified xsi:type="dcterms:W3CDTF">2018-05-29T06:32:00Z</dcterms:modified>
</cp:coreProperties>
</file>